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29.05.2019, оставленным без изменения постановлением Девятого арбитражного апелляционного суда от 01.10.2019, в удовлетворении иска отказано. Арбитражный суд Московского округа постановлением от 24.01.2020 решение от 29.05.2019 и постановление Девятого арбитражного апелляционного суда от 01.10.2019 оставил без изменения. В кассационной жалобе общество «ДХЛ Глобал Форвардинг» просит об отмене судебных актов, ссылаясь на игнорирование возникновения регрессного требования к ответчику в связи с исполнением за него публично-правовой обязанности по уплате таможенных платежей.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Спорная сумма, составляющая доначисленную таможенным органом таможенную пошлину, взыскивается истцом в качестве убытков, возникших в связи с исполнением договора от 31.03.2015 № 2015-521. Суды установили, что в силу договора истец оказывал ответчику услуги таможенного представителя и спорные расходы образовались вследствие неправильной классификации им товаров, поэтому такие расходы в силу статей 15 , 393 Гражданского кодекса Российской Федерации являются его ответственностью за ненадлежащее исполнение договора.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«ДХЛ Глобал Форвардинг»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"ДХЛ Глобал Форвардинг" (подробнее) Ответчики: ООО "ДжиИ Рус"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