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включении в реестр требований кредиторов должника задолженности в размере в размере 161 448 675 рублей 62 копеек и в размере 2 097 034 553 рублей 53 копеек, об установлении статуса залогового кредитора. Определением Арбитражного суда города Москвы от 25.10.2019, оставленным без изменения постановлением Девятого арбитражного апелляционного суда от 13.12.2019, заявление банка признано обоснованным частично. В третью очередь реестра включено требование в размере 1 212 299 291 рубль 13 копеек – основной долг, 305 024 725 рублей 77 копеек – проценты, 565 203 402 рубля 22 копейки – пени, с учётом пункта 3 статьи 137 Федерального закона от 26.10.2002 № 127-ФЗ «О несостоятельности (банкротстве)» (далее – Закон о банкротстве); требование в размере 60 676 314 рублей 98 копеек признаны обеспеченными залогом имущества должника – доли в размере 100 % в уставном капитале общества с ограниченной ответственностью «Атлас – Логистик»; в третью очередь реестра требований кредиторов включено требование в размере 142 213 981 рубль 63 копейки, из них 60 818 480 рублей – основной долг, 21 014 054 рубля 58 копеек – проценты, 60 381 447 рублей 06 копеек – пени, с учетом пункта 3 статьи 137 Закона о банкротстве; в удовлетворении остальной части заявления отказано. Постановлением Арбитражного суда Московского округа от 03.03.2020 вышеуказанные судебные акты отменены в части включения в реестр требований банка в размере 2 082 527 419 рублей 12 копеек, обособленный спор в отменённой части направлен на новое рассмотрение в Арбитражный суд города Москвы. В остальной части определение суда первой инстанции от 25.10.2019 и постановление апелляционного суда от 13.12.2019 оставлены без изменения.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требований банка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заявленные требования частично обоснованными, суды первой и апелляционной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195 , 196 , 199 , 200 , 323 , 333 , 363 Гражданского кодекса Российской Федерации, статьями 71 , 100 Закона о банкротстве, исходили из отсутствия доказательств оплаты должником задолженности банку, указав на пропуск последним срока исковой давности по части требований, необходимость снижения начисленной неустойки ввиду её несоразмерности последствиям неисполнения обязательств и степени вины поручителя, а также отсутствие оснований для признания требования по одному из кредитных договоров обеспеченным залогом имущества должника, правообладателем которого тот не является. Суд округа в целом согласился с подобными выводами, однако ввиду неполного установления всех фактических обстоятельств, в частности, касающихся срока действия поручительства должника по каждому из кредитных договоров, счёл необходимым направить обособленный спор в данной части на новое рассмотрение.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заявления в оспариваемой части арбитражным судом округа не был окончательно разрешен, заявитель не лишён возможности при новом рассмотрении спора изложить свои доводы со ссылками на нормы права и имеющиеся в деле доказательства.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Коммерческим Банком «Финансово-Промышленный Банк» (публичное акционерное общество)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ГК "Агентство по страхованию вкладов" (подробнее) ПАО АКБ "ФИНПРОМБАНК" (подробнее) ПАО Акционерный Коммерческий Банк "Финансово-Промышленный Банк" (подробнее) Иные лица: В/у Нехина Анна Александровна (подробнее) ГК АКБ "ФинПромБанк" в лице "АСВ" (подробнее) САУ "Авангард" (подробнее) Ф/у Нехина А.А. (подробнее) Судьи дела: Корнелюк Е.С. (судья) (подробнее) Судебная практика по: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