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А41-35862/2019 и одновременно ходатайствует о приостановлении их исполнения, указывая на затруднительность возможного поворота исполнения и ухудшение вследствие исполнения финансового положения общества. Рассмотрев ходатайство, суд не усматривает требуемых в силу статьи 291.6 Арбитражного процессуального кодекса Российской Федерации условий для его удовлетворения.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«Квартал Гальчино» в приостановлении исполнения решения Арбитражного суда Московской области от 30.09.2019 по делу № А41-35862/2019. Судья Верховного Суда Российской Федерации Н.А. Ксенофонтова Суд: Верховный Суд РФ (подробнее) Истцы: ООО "ГОРОДСКИЕ КОМПЛЕКСНЫЕ СИСТЕМЫ" (подробнее) Ответчики: ООО "КВАРТАЛ ГАЛЬЧИНО" (подробнее) Иные лица: ФБУ РФЦСЭ при Минюсте России (подробнее) Судьи дела: Ксенофонтова Н.А. (судья) (подробнее) Последние документы по делу: Определение от 18 июня 2020 г. по делу № А41-35862/2019 Определение от 25 марта 2020 г. по делу № А41-35862/2019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