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обратилась в суд с заявлением о взыскании с ФИО2 и ФИО3 (далее – конкурсные кредиторы) 228 500 рублей судебных расходов. Определением Арбитражного суда Челябинской области от 04.09.2019, оставленным без изменений постановлениями Восемнадцатого арбитражного апелляционного суда от 06.11.2019 и Арбитражного суда Уральского округа от 10.03.2020,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110 Арбитражного процессуального кодекса Российской Федерации, пунктами 6, 10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исходили из отсутствия у заявителя права претендовать на возмещение заявленных судебных расходов ввиду принятия судебных актов по обособленным спорам, в которых ФИО1 не являлась ни участником материально-правовых отношений, ни стороной оспоренных сделок, не в пользу заявителя, в связи с чем отказали в удовлетворении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"ПРОИЗВОДСТВЕННО-КОММЕРЧЕСКАЯ ФИРМА "ПЕРМСПЕЦКАБЕЛЬ"" (подробнее) Инспекция Федеральной налоговой службы по Советскому району г. Челябинска (подробнее) ООО "Троицкий станкостроительный завод" (подробнее) Ответчики: ООО "СМУ-29" (подробнее) Иные лица: Ассоциация "Саморегулируемая организация арбитражных управляющих "Южный Урал"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