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13.08.2019, оставленным без изменения постановлением Седьмого арбитражного апелляционного суда от 16.10.2019, иск удовлетворен. Арбитражный суд Западно-Сибирского округа постановлением от 06.02.2020 решение от 13.08.2019 и постановление Седьмого арбитражного апелляционного суда от 16.10.2019 оставил без изменения. В кассационной жалобе общество «Н-Транс» просит об отмене судебных актов, ссылаясь на отсутствие доказательств принятия груза к перевозке и причастности к утрате груза.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Ответственность общества «Н-Транс» за сохранность груза, перевозимого на конкретном транспортном средстве конкретным лицом, согласована в договоре-заявке от 24.01.2019 № 1, поэтому применена в соответствии с договором, обстоятельствами перевозки, статьями 15 , 393 , 803 , 805 Гражданского кодекса Российской Федерации, статьей 7 Федерального закона от 30.06.2003 № 87-ФЗ «О транспортно-экспедиционной деятельности».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"Сервистранслогистик" (подробнее) Ответчики: ООО "Н-ТРАНС"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