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18.06.2019, оставленным без изменения постановлением Двадцатого арбитражного апелляционного суда от 24.09.2019, в удовлетворении первоначального иска отказано, встречный иск удовлетворен. Арбитражный суд Центрального округа постановлением от 25.02.2020 отменил решение от 18.06.2019 и постановление Двадцатого арбитражного апелляционного суда от 24.09.2019 в части удовлетворения встречного иска и отказал в его удовлетворении. В кассационной жалобе общество «СпецСтройМонтаж» просит об отмене судебных актов как противоречащих доказательствам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Спецстроймонтаж (подробнее) Ответчики: ООО Нефтехиммонтаж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