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Оренбургской области от 03.10.2018 первоначальные исковые требования удовлетворены, в удовлетворении встречного иска отказано. Постановлением Восемнадцатого арбитражного апелляционного суда от 04.04.2019, решение от 03.10.2018 отменено, в удовлетворении первоначального иска отказано, встречный иск удовлетворен. Постановлением Арбитражного суда Уральского округа от 26.07.2019 постановление апелляционного суда отменено, дело направлено на новое рассмотрение в Восемнадцатый арбитражный апелляционный суд. В кассационной жалобе общество просит отменить постановление окружного суда как принятое с нарушением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постановления апелляционного суда окружной суд установил неисследование обстоятельств, необходимых для правильного разрешения спора, поэтому направил дело на новое рассмотрение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«Оренстрой-1»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18 июня 2020 г. по делу № А47-12974/2017 Определение от 25 ноября 2019 г. по делу № А47-12974/2017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