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30.05.2019, оставленным без изменения постановлением Восемнадцатого арбитражного апелляционного суда от 20.08.2019 и постановлением Арбитражного суда Уральского округа от 20.01.2020, иск удовлетворен в части взыскания задолженности. В кассационной жалобе компания просит об отмене судебных актов, на ссылаясь на незаконное невозложение на истца риска неустановления получения услуги надлежащим лицом.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Учитывая установленное отсутствие в договоре от 24.08.2009 № 666 условия о зонах ответственности сторон, суды распределили риски в связи с несанкционированным доступом исходя из поведения сторон. Суды установили, что в ситуации возросшего с абонентского номера компании трафика истец совершил блокировку доступа к услуге в требуемый внутренними правилами срок, тогда как компания не обеспечила безопасности установленного оборудования. Возложенные на компанию последствия бездействия не противоречатт договору, статье 312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«Сервисная туристическая компания «Вистарт»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"Ростелеком" (подробнее) Ответчики: ООО "Сервисная туристическая компания "ВИСТАРТ"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