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18.08.2019, оставленным без изменения постановлением Тринадцатого арбитражного апелляционного суда от 24.10.2019, в удовлетворении заявленных требований отказано. 2 Постановлением Арбитражного суда Северо-Западного округа от 10.03.2020 указанные судебные акты оставлены без изменения. Администрации Невского и Фрунзенского районов Санкт-Петербурга (далее – администрации) обратились в Верховный Суд Российской Федерации с кассационными жалобами, в которых просят состоявшиеся по делу судебные акты отменить, считая их принятыми с нарушением норм материального и процессуального права. При изучении доводов жалоб и принятых по делу судебных актов оснований для удовлетворения жалоб не установлено. Оценив представленные доказательства и установив, что в рассматриваемом случае не закупались билеты на конкретные мероприятия, а производилась закупка услуг по организации таких мероприятий, руководствуясь положениями Федерального закона от 26.07.2006 № 135-ФЗ «О защите конкуренции»,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признали доказанным факт нарушения в действиях администраций антимонопольного законодательства при заключении государственных контрактов у единственного поставщика. При этом суды, исходя из условий закупки, в рассматриваемом случае не установили оснований для применения пункта 15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Доводы жалоб были предметом рассмотрения судов и получили исчерпывающую правовую оценку,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3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