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25.07.2019, оставленным без изменения постановлением Девятого арбитражного апелляционного суда от 23.10.2019, взыскано 3 086 551 рубль 50 копеек неосновательного обогащения. Арбитражный суд Московского округа постановлением от 24.01.2020 решение от 25.07.2019 и постановление Девятого арбитражного апелляционного суда от 23.10.2019 оставил без изменения. В кассационной жалобе общество «РЕСО-Лизинг» просит об отмене судебных актов в неудовлетворенной части иска, ссылаясь на законное начисление неустойки до прекращения обязательства, которым является продажа предмета лизинга.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Возможность начисления договорной неустойки суды правомерно связали с прекращением договора, осуществленным посредством расторжения.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«РЕСО-Лизинг»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"РЕСО-Лизинг" (подробнее) Ответчики: ООО "Инженерно-консультационный центр по объектам повышенной опасности"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