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26.09.2018 иск удовлетворен. Определением Девятого арбитражного апелляционного суда от 14.10.2019 в удовлетворении ходатайства ответчика о восстановлении пропущенного срока на подачу апелляционной жалобы отказано, производство по апелляционной жалобе прекращено. Определением Арбитражного суда Московского округа от 23.01.2020, оставленным без изменения определением того же суда от 06.03.2020, в удовлетворении ходатайства о восстановлении срока на подачу кассационной жалобы ответчика на решение от 26.09.2018 отказано, жалобы возвращена. В кассационной жалобе общество «Дорожно-строительная компания Норстрой» просит отменить судебные акты как незаконные. Кассационная жалоба в части обжалования решения Арбитражного суда города Москвы от 26.09.2018 и определения Девятого арбитражного апелляционного суда от 14.10.2019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определений окружного суда не усматривается. Суд округа оценил приведенную ответчиком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«Дорожно-строительная компания Норстрой»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ГРАНТ Информационные системы (подробнее) Ответчики: ООО "ДОРОЖНО-СТРОИТЕЛЬНАЯ КОМПАНИЯ НОРСТРОЙ"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