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15.07.2019, оставленным без изменения постановлением Четвертого арбитражного апелляционного суда от 28.10.2019, взыскано 2 820 000 рублей страхового возмещения и 366 831 рубль 79 копеек процентов за пользование чужими денежными средствами. Арбитражный суд Восточно-Сибирского округа постановлением от 05.02.2020 решение 15.07.2019 и постановление Четвертого арбитражного апелляционного суда от 28.10.2019 оставил без изменения. В кассационной жалобе общество «Страховая компания Согласие» просит об отмене судебных актов, ссылаясь на неосновательное расширенное толкование перечня страховых случаев.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договоров (полисов страхования транспортного средства, являющегося предметом лизинга, «Каско-лизинг») от 08.02.2016 серии 2008011 № 200570445/15 ТЮЛ, от 07.04.2016 серии 2008011 № 200917084/16 ТЮЛ транспортные средства застрахованы от ущерба и хищения, наступившего в заявленных случаях. Для признания страхового случая значение имеют договорные критерии, а не уголовно-правовая квалификация утраты застрахованного имущества.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"Лизинговая компания Уралсиб" (подробнее) Ответчики: ООО "Страховая компания "Согласие"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