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26.07.2019, оставленным без изменения постановлением Десятого арбитражного апелляционного суда от 26.09.2019, в иске отказано. Постановлением Арбитражного суда Московского округа от 03.03.2020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принятыми с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суды отказали в удовлетворении иска, признав, что истцом (подрядчиком) не доказан факт выполнения работ по государственному контракту на спорную сумму, кроме того, из экспертного заключения следует, что работы для ответчика (заказчика) не имеют потребительской ценности, так как не установлен результат работ, направленный на создание объекта. В силу положений статей 270 и 288 Арбитражного процессуального кодекса Российской Федерации непривлечение временного управляющего к участию в деле не является основанием для отмены судебных актов в отсутствие доказательств того, что указанное обстоятельство привело или могло привести к принятию неправильного решения и (или) нарушению интересов кредиторов. Доводы жалобы были предметом рассмотрения судов и получили исчерпывающую правовую оценку,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АО "Волгомост" (подробнее) ФКУ "Федеральное управление автомобтльных дорог "Центральная Россия"Федерального жорожного агентства (подробнее) Ответчики: Федеральное казенное учреждение "Федеральное управление автомобильных дорог "Центральная Россия" Федерального дорожного агентства"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