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Огай С.Ю. обратился в суд с заявлением о включении в реестр требований кредиторов должника задолженности в размере 14 290 000 рублей. Определением Арбитражного суда Московской области от 03.06.2020 в удовлетворении заявления отказано. Постановлением Десятого арбитражного апелляционного суда от 26.09.2019 вышеуказанное определение отменено, требование включено в третью очередь реестра. Постановлением Арбитражного суда Московского округа от 19.02.2020 отменено постановление апелляционного суда от 26.09.2019, определение суда первой инстанции от 03.06.2020 оставлено в силе.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суда округа,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включении требования в реестр, суд первой инстанции, руководствуясь статьями 170, 191, 199, 200, 807, 808 Гражданского кодекса Российской Федерации,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20 постановления Пленума Верховного Суда Российской Федерации «О некоторых вопросах, связанных с применением норм Гражданского кодекса Российской Федерации об исковой давности» от 29.09.2015 № 43, исходил из пропуска заявителем срока исковой давности по предъявленному требованию. Суд округа согласился с данными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Огай Сергею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