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31.01.2019 исковые требования удовлетворены. Определением Арбитражного суда Ростовской области от 25.09.2019, оставленным без изменения постановлением Пятнадцатого арбитражного апелляционного суда от 16.11.2019 и постановлением Арбитражного суда Северо-Кавказского округа от 30.01.2020, предпринимателю отказано в пересмотре по вновь открывшимся обстоятельствам решения от 31.01.2019. В кассационной жалобе предприниматель просит о пересмотре судебных актов, принятых в отношении вновь открывшихся обстоятельств, ссылаясь на неисследование при принятии решения представленных ею документов.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предприниматель была извещена о рассмотрении дела и имела возможность представить документы, на которых основывает заявление о пересмотре решения по вновь открывшимся обстоятельствам. Неучастие в рассмотрении дела и своевременное непредставление документов, на которых основаны доводы и возражения, не наделяет такие документы признаком объективно существовавших, но неизвестных заявителю и суду, необходимым для пересмотра судебных актов на основании части 2 статьи 311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"ВУЭЛЬТА"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