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27.09.2019, оставленным без изменения постановлением Девятого арбитражного апелляционного суда от 21.11.2019 и постановлением Арбитражного суда Московского округа от 10.02.2020, иск оставлен без рассмотрения на основании пункта 2 части 1 статьи 148 Арбитражного процессуального кодекса Российской Федерации В кассационной жалобе банк просит об отмене судебных актов, ссылаясь на игнорирование поведения ответчика, уклоняющегося от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Оставление заявления без рассмотрения не препятствует восстановлению и защите права, о реализации которого подан данный иск, поэтому кассационный пересмотр судебных актов по изложенным выше основаниям невозможен.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Компания УИЛЛОУ РИВЕР РАШН ХАУЗИНГ ДЕВЕЛОПМЕНТС ЛТД (подробнее) ПАО НАЦИОНАЛЬНЫЙ БАНК "ТРАСТ" (подробнее) Ответчики: Компания УИЛЛОУ РИВЕР РАШН ХАУЗИНГ ДВЕЛОПМЕНТС ЛТД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