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Агурбаш Н.Г. обратился в суд с заявлением о включении в реестр требований кредиторов должника задолженности в размере 495 974 030 рублей 26 копеек основного долга – в третью очередь реестра, а также задолженности в размере 46 296 059 рублей – в текущие требования. Определением Арбитражного суда города Москвы от 30.08.2019 заявление удовлетворено в части включения в третью очередь реестра 207 106 373 рублей 96 копеек задолженности, в части требований на сумму 46 296 059 рублей производство по заявлению было прекращено; в остальной части отказано. Постановлением Десятого арбитражного апелляционного суда от 04.12.2019, оставленным без изменения постановлением Арбитражного суда Московского округа от 18.02.2020, вышеуказанное определение в обжалуемой части отменено; в удовлетворении требования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обжалуемой части и разрешая спор, апелляционный суд, руководствуясь статьями 2,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3.2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 из предоставления заявителем как участником должника финансирования в отсутствие экономического обоснования предоставления заёмных денежных средств, что являлось формой участия в капитале должника, в связи чем не усмотрел оснований для включения требования в реестр.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Агурбашу Николаю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