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17.09.2019, оставленным без изменения постановлением Седьмого арбитражного апелляционного суда от 27.11.2019, в иске отказано. Постановлением Арбитражного суда Западно-Сибирского округа от 17.03.2020 указанные судебные акты оставлены без изменения. Общество просит названные судебные акты отменить, считая их принятыми с существенным нарушением норм материального и процессуального права. Согласно положениям части 7 статьи 291.6 , части 1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182 , 307 , 506 , 516 Гражданского кодекса Российской Федерации, суды в иске отказали, не усмотрев оснований для взыскания с ответчика задолженности и неустойки, исходя из отсутствия доказательств, подтверждающих наличие между сторонами договорных отношений и факт поставки товара ответчику. Доводы жалобы были предметом рассмотрения судов и получили исчерпывающую правовую оценку в оспариваемых судебных актах с учетом поведения истца, не согласиться с которой оснований не имеется. Приведенные в жалобе доводы не свидетельствуют о существенных нарушениях норм материального права, а также требований процессуального законодательства, повлиявших на исход судебного разбирательства.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"Новые Технологии -НК" (подробнее) Ответчики: Муниципальное бюджетное общеобразовательное учреждение "Средняя общеобразовательная школа №2" (подробнее) Судьи дела: Першутов А.Г.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