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29.05.2019, оставленным без изменения постановлением Восемнадцатого арбитражного апелляционного суда от 20.08.2019 и постановлением Арбитражного суда Уральского округа от 20.01.2020, иск удовлетворен в части задолженности. В кассационной жалобе компания просит об отмене судебных актов, ссылаясь на незаконное невозложение на истца риска неустановления получения услуги надлежащим лицом.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Учитывая установленное отсутствие в договоре от 01.03.2013 NGN № Н-1446 условия о зонах ответственности сторон, суды распределили риски в связи с несанкционированным доступом исходя из поведения сторон. Суды установили, что в ситуации возросшего с абонентского номера компании трафика истец совершил блокировку доступа к услуге в требуемый внутренними правилами срок, тогда как компания не обеспечила безопасности установленного оборудования. Возложение на компанию последствия бездействия не противоречит договору, статье 312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«Туристическая компания «ВистаЧел»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"Ростелеком" (подробнее) Ответчики: ООО ТК "ВИСТАЧЕЛ"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