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02.09.2019, оставленным без изменения постановлением Четвертого арбитражного апелляционного суда от 07.11.2019 и постановлением Арбитражного суда Восточно-Сибирского округа от 23.01.2020, иск удовлетворен. В кассационной жалобе предприниматель просит о пересмотре судебных актов, ссылаясь на игнорирование ненадлежащих доказательств передачи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309 , 330 , 486 , 506 , 516 Гражданского кодекса Российской Федерации, суды удовлетворили иск по установленному обстоятельствам поставки обществом товара по договору от 01.10.2018 № 789 и неоплаты его предпринимателем. Вопросы доказывания и оценки доказательств, заложенные в доводах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"ВЕНЗА"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