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июня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Арбитражным судом города Москвы рассмотрено дело, переданное по подсудности из Арбитражного суда Челябинской области, по иску общества с ограниченной ответственностью «РуссВзрыв» к закрытому акционерному обществу «ФЕСТИНА-Рус», закрытому акционерному обществу «Страховая Компания ЭРГО» и акционерному обществу «НВТ» (NWT a.s.) о солидарном взыскании 109 922 евро убытков, причиненных ненадлежащей перевозкой груза. Решением Арбитражного суда города Москвы от 12.11.2019 иск удовлетворен в части взыскания с ЗАО «СК «ЭРГО» 106 782 евро убытков в рублях по курсу Центрального Банка Российской Федерации на день исполнения судебного акта; в удовлетворении иска в остальной части отказано. Постановлением Девятого арбитражного апелляционного суда от 12.12.2019 решение суда первой инстанции отменено и иск удовлетворен в части взыскания с АО «НВТ» (NWT a.s.) 106 782 евро в рублях по курсу Центрального Банка Российской Федерации на день платежа; в удовлетворении иска в остальной части отказано. Арбитражный суд Московского округа постановлением от 19.03.2020 постановление суда апелляционной инстанции оставил без изменения. Акционерное общество «НВТ» (NWT a.s.) обратилось в Судебную коллегию по экономическим спорам Верховного Суда Российской Федерации с кассационной жалобой на постановления суда апелляционной инстанции и окружного суда,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признав доказанным факт повреждения груза вследствие его недостаточной подготовки к транспортировке, а именно: недостаточной упаковки, не соответствующей стандартам и характеру перевозимого груза, руководствуясь положениями статей 15 , 393 Гражданского кодекса Российской Федерации, суд апелляционной инстанции пришел к выводу о наличии оснований для возмещения убытков продавцом товара, ответственным за надлежащую упаковку. Доводы жалобы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акционерному обществу «НВТ» (NWT a.s.)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ООО РуссВзрыв (подробнее) Ответчики: АО НВТ (подробнее) ЗАО СК ЭРГО (подробнее) ЗАО "ФЕСТИНА-РУС" (подробнее) Иные лица: Иннжиниринговая компания "ПромГеоСтрой" (подробнее) ООО "ПравитЭксперт" (подробнее) Судьи дела: Зарубина Е.Н. (судья) (подробнее) Судебная практика по: Упущенная выгода Судебная практика по применению норм ст. 15, 393 ГК РФ Взыскание убытков Судебная практика по применению нормы ст.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