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15.08.2019, оставленным без изменения постановлением Пятнадцатого арбитражного апелляционного суда от 13.12.2019, иск удовлетворен. Арбитражный суд Северо-Кавказского округа постановлением от 10.03.2020 решение от 15.08.2019 и постановление Пятнадцатого арбитражного апелляционного суда от 13.12.2019 оставил без изменения. В кассационной жалобе банк просит об отмене судебных актов, ссылаясь на неправильную оценку операций клиента по расчетному счету.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возражения банка о характере проводимых клиентом операций и неполном представлении требуемых в обоснование операций документов не подтверждены, поэтому признали принятые банком меры не соответствующими статье 859 Гражданского кодекса Российской Федерации и нормам Федерального закона от 07.08.2001 № 115-ФЗ «О противодействии легализации (отмыванию) доходов, полученных преступным путем, и финансированию терроризма». Иная оценка обстоятельств спора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"Баркас" (подробнее) Федеральная служба по финансовому мониторингу по Южному федерльному округу (подробнее) Ответчики: АО "Россельхозбанк" (подробнее) АО "Российский сельскохозяйственный банк" в лице Краснодарского регионального филиала (подробнее) Иные лица: Межрегиональное управление Федеральной службы по финансовому мониторингу по Южному федеральному округу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