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«РИТММИКС» срок подачи кассационной жалобы на решение Арбитражного суда Костромской области от 01.08.2019 по делу № А31-13940/2018, постановление Второго арбитражного апелляционного суда от 25.10.2019 и постановление Арбитражного суда Волго-Вятского округа от 23.03.2020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