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10.07.2019, оставленным без изменения постановлением Пятого арбитражного апелляционного суда от 25.11.2019 и постановлением Арбитражного суда Дальневосточного округа от 21.02.2020, иск удовлетворен.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новый судебный акт об отказе в удовлетворении иска.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Суды первой и апелляционной инстанций, с которыми согласился суд округа,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614 , 632 , 779 , 781 Гражданского кодекса Российской Федерации, пришли к выводу о наличии оснований для удовлетворения иска, исходя из подтвержденности факта оказания компанией услуг по спорному договору и отсутствия доказательств их полной оплаты обществом.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«Базальт»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"АВТО-НАХОДКА" (подробнее) Ответчики: ООО "Базальт"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