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23.09.2019 оспариваемые постановления признаны незаконными и изменены в части назначенного наказания в виде штрафа, штраф заменен на предупреждение. Постановлением Четырнадцатого арбитражного апелляционного суда от 26.11.2019 решение суда первой инстанции отменено, в удовлетворении требований отказано. Постановлением Арбитражного суда Северо-Западного округа от 28.02.2020 постановление апелляционного суда оставлено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незаконных валютных операций, в связи с выдачей заработной платы работнику-нерезиденту наличными денежными средствами без использования банковского счета за период с 18.07.2017 по 31.07.2018 на сумму 118 251 рублей.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Однако, признав, что административные правонарушения, совершенные обществом, не является впервые совершенными, суд апелляционной инстанции не согласился с выводами суда первой инстанции о наличии оснований для замены назначенного обществу наказания в виде штрафа на предупреждение.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санкции, предусмотренной частью 1 статьи 15.25 Кодекса Российской Федерации об административных правонарушениях,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"Алюминиевые конструкции" (подробнее) Ответчики: Межрайонная инспекция Федеральной налоговой службы России №10 по Тверской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