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11.08.2019, оставленным без изменения постановлением Девятого арбитражного апелляционного суда от 15.11.2019 и постановлением Арбитражного суда Московского округа от 12.03.2020,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329 , 330 , 421 , 431 , 606 , 614 Гражданского кодекса Российской Федерации, установив, что в рамках договора от 13.10.2017 № 13-10 долгосрочной аренды нежилых помещений банк (арендодатель) предоставил обществу (арендатору) нежилые помещения, при этом последнее обязательства по внесению арендной платы и оплате коммунальных услуг надлежащим образом не исполнило, проверив и признав верным представленный истцом расчет,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«Реворк»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ПАО "Сбербанк России" (подробнее) Ответчики: ООО "Реворк"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