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09.09.2019, оставленным без изменения постановлением Одиннадцатого арбитражного апелляционного суда от 06.12.2019, иск удовлетворен. Постановлением Арбитражного суда Поволжского округа от 13.03.2020 указанные судебные акты оставлены без изменения. Ответчик просит отменить обжалуемые судебные акты, считая их принятыми с существенным нарушением норм материального права и (или) норм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иск, признав, что факт передачи товара ответчику подтверждается представленными в материалы дела документами, товар ответчиком не оплачен. В силу положений частей 3 и 4 статьи 288 Арбитражного процессуального кодекса Российской Федерации ссылка на принятие судом апелляционной инстанции к производству апелляционной жалобы ответчика без предоставления заявителем документа, подтверждающего уплату государственной пошлины, сама по себе не является основанием для отмены судебных актов в отсутствие доказательств того, что указанное обстоятельство привело или могло привести к принятию неправильного решения, постановления. Доводы жалобы были предметом рассмотрения судов и получили исчерпывающую правовую оценку,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"Мэйвен", г.Казань (подробнее) Ответчики: 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А.Н.Туполева-КАИ", г.Казань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