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27.09.2019, оставленным без изменения постановлением Семнадцатого арбитражного апелляционного суда от 11.12.2019 и постановлением Арбитражного суда Уральского округа от 27.02.2020, в удовлетворении исковых требований отказано.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либо принять новый судебный акт об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с которыми согласился суд округа,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408 , 456 , 486 , 506 , 510 , 516 Гражданского кодекса Российской Федерации, пришли к выводу об отсутствии оснований для удовлетворения исковых требований, исходя из недоказанности компанией факта исполнения в рамках спорного договора обязательства по поставке обществу товара.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«Евразийская Машиностроительная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"ЕВРАЗИЙСКАЯ МАШИНОСТРОИТЕЛЬНАЯ КОМПАНИЯ" (подробнее) Ответчики: ООО "Объединение Уральских машиностроителей" (подробнее) Судьи дела: Чучунова Н.С.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