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01.04.2019, оставленным без изменения постановлением Тринадцатого арбитражного апелляционного суда от 16.09.2019 и постановлением Арбитражного суда Северо-Западного округа от 17.02.2020, с компании в пользу общества взыскано 157 000 руб. задолженности, в остальной части первоначального иска отказано. Встречный иск удовлетворен, с общества в пользу компании взыскано 181 566 руб. неустойки. В результате произведенного зачета с общества в пользу компании взыскано 26 458 руб.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в части отказа в удовлетворении первоначального иска и удовлетворения встречного иска и направить дело на новое рассмотрение в Арбитражный суд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об оказании услуг от 23.09.2014 № 22/2014, а также обстоятельства его исполнения сторонами, руководствуясь положениями статей 309 , 310 , 779 , 781 , 783 Гражданского кодекса Российской Федерации, суды первой и апелляционной инстанций, с которыми согласился суд округа, пришли к выводу о наличии оснований для частичного удовлетворения первоначального иска и удовлетворения встречного иска.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«Лонопарк»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"ЛОНОПАРК" (подробнее) Ответчики: ООО "Объединенные Пивоварни Хейнекен" (подробнее) Иные лица: МИФНС России №21 по Санкт-Петербургу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