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«Вектор» удовлетворить. Срок подачи кассационной жалобы на решение Арбитражного суда города Санкт-Петербурга и Ленинградской области от 18.07.2019, постановление Тринадцатого арбитражного апелляционного суда от 08.10.2019 и постановление Арбитражного суда Северо-Западного округа от 10.02.2020 восстановить. Судья Верховного Суда Российской Федерации Н.С. Чучунова Суд: Верховный Суд РФ (подробнее) Истцы: АО "Вектор" (подробнее) Ответчики: Комитет по государственному контролю, использованию и охране памятников истории и культуры (подробнее) Судьи дела: Чучунова Н.С. (судья) (подробнее) Последние документы по делу: Определение от 15 июня 2020 г. по делу № А56-14559/2019 Определение от 21 апреля 2020 г. по делу № А56-14559/2019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