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«Промсвязьбанк» (далее – Банк) обратилось в Арбитражный суд города Москвы с иском к Компании Промсвязь ФИО1 (далее – Компания) о взыскании номинальной стоимости облигаций серии 01 в размере 2 844 498 000 рублей, накопленного дохода за четвертый купонный период в размере 148 937 915 рублей 28 копеек, а также накопленного дохода за пятый купонный период в размере 62 152 281 рубль 30 копеек. К участию в деле в качестве третьего лица, не заявляющих самостоятельных требований относительно предмета спора, привлечено акционерное общество «ПромСвязьКапитал» (далее – Общество) в лице конкурсного управляющего ФИО2. Решением Арбитражного суда города Москвы от 20.08.2019, оставленным без изменения и постановление Девятого арбитражного апелляционного суда от 29.10.2019 и постановлением Арбитражного суда Московского округа от 14.02.2020,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 на неправомерность выводов судов о том, что содержащаяся в уведомлении об акцепте формулировка факта неисполнения не имеет значения.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Банк является владельцем 2 844 498 облигаций государственный регистрационный номер выпуска 4-01-44790-Н, эмиссию которых осуществило Общество. В связи с неисполнением эмитентом обязательства по выплате денежных средств за четвертый и пятый купонный период, а также по приобретению облигаций, истец направил в адрес Общества и Компании (поручитель) требования о досрочном погашении ценных бумаг, которые были оставлены ответчиками без удовлетворения, что послужило основания для предъявления настоящего иска. Исследовав и оценив по правилам статьи 71 АПК РФ представленные доказательства, руководствуясь статьями 309 , 310 , 395 , 437 , 484 Гражданского кодекса Российской Федерации, положениями Федерального закона от 22.04.1996 № 39-ФЗ «О рынке ценных бумаг» и разъяснениями, изложенными в постановлении Пленума Верховного Суда Российской Федерации от 25.12.2018 N 49 «О некоторых вопросах применения общих положений Гражданского кодекса Российской Федерации о заключении и толковании договора», суды удовлетворили заявленные требования, придя к выводу о наличии у ответчика, как у поручителя эмитента обязанности по приобретению ценных бумаг и выплате соответствующего вознаграждения. Отклоняя ссылки на указание в уведомлении об акцепте неверного факта неисполнения обязательства, суды обоснованно исходили из того, что содержащаяся в уведомлении об акцепте формулировка – просрочка исполнения обязательства по приобретению облигаций не влияет на акцепт оферты, поскольку уведомлением от 22.06.2018 № 52219-ВА Банк прямо выразил согласие на продажу ценных бумаг на предложенных условиях, а также подал в ПАО Московская биржа адресную заявку на продажу облигаций по цене приобретения (совершил конклюдентные действия), о чем знал (должен был знать) агент оферента (Банк в полном объеме и безоговорочно принял условия оферты, чем связал себя с оферентом обязательствами). Как верно отметили суды, все три факта неисполнения, указанные в пункте 1.7 оферты, влекут одинаковый объем обязательств для оферента, а именно обязательство приобрести облигации. Доводы кассационных жалоб,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Промсвязь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ПАО "Промсвязьбанк" (подробнее) Ответчики: PROMSVYAZ CAPITAL B.V.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