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Ярославской области от 29.05.2019, оставленным без изменения постановлением Второго арбитражного апелляционного суда от 02.10.2019 и постановлением Арбитражного суда Волго-Вятского округа от 14.02.2020, в удовлетворении иска отказано. В кассационной жалобе, поданной в Верховный Суд Российской Федерации, предприниматель, ссылаясь на нарушение судами норм права, просит отменить указанные судебные акты и принять новый судебный акт об удовлетворении иска.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309 , 310 , 382 , 384 Гражданского кодекса Российской Федерации, суды первой и апелляционной инстанций, с которыми согласился суд округа, констатировали, что оснований считать кооператив ответственным перед предпринимателем за нарушение сроков передачи объекта долевого строительства не имеется, в связи с чем отказали в удовлетворении иска. Доводы кассационной жалобы не опровергают выводы судов и не подтверждают существенных нарушений судами норм материального и процессуального права, повлиявших на исход дела.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ИП Невейницын Станислав Витальевич (подробнее) Ответчики: Жилищно-строительный кооператив "Фрунзе-77" (подробнее) Иные лица: Совет по противодействию коррупции при Презеденте РФ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