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22.07.2019, оставленным без изменения постановлением Седьмого арбитражного апелляционного суда от 30.09.2019 и постановлением Арбитражного суда Западно-Сибирского округа от 10.02.2020, исковые требования в части взыскания основного долга удовлетворены в полном объеме, в части неустойки - частично. В кассационной жалобе, поданной в Верховный Суд Российской Федерации, предприятие,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соответствующий арбитражный суд.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421 , 779 Гражданского кодекса Российской Федерации, статьями 30 , 154 Жилищного кодекса Российской Федерации, положениями Федерального закона от 24.06.1998 № 89-ФЗ «Об отходах производства и потребления», Правил обращения с твердыми коммунальными отходами, утвержденных постановлением Правительства Российской Федерации от 12.11.2016 № 1156, учитывая отсутствие доказательств совершения ответчиком (потребителем), отрицающим потребность в оказанных истцом (региональным оператором) услугах по обращению с твердыми коммунальными отходами, надлежащих действий по отказу от заключения спорного договора на условиях типового договора, а также по отказу от принятия этих услуг, пришли к выводу о наличии оснований для удовлетворения исковых требований, с чем впоследствии согласился суд округа. 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дела, в связи с чем оснований для передачи жалобы на рассмотрение в судебном заседании Судебной коллегии Верховного Суда Российской Федерации не имеется.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муниципального предприятия «Фармация»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"Экологические технологии" (подробнее) Ответчики: МП "Фармация" (подробнее) Судьи дела: Чучунова Н.С. (судья) (подробнее) Судебная практика по: Признание права пользования жилым помещением Судебная практика по применению норм ст. 30, 31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