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«Трансойл» обратилось в Арбитражный суд города Москвы с иском об обязании открытого акционерного общества «Российские железные дороги» предоставить счета- фактуры, оформленные в соответствии с требованиями Налогового кодекса Российской Федерации с выделенным НДС по ставке 18%, и взыскании судебной неустойки по статье 308.3 Гражданского кодекса Российской Федерации в размере 1000 рублей за каждый непредставленный счет-фактуру за каждый день просрочки исполнения решения суда. Решением Арбитражного суда города Москвы от 23.08.2019 в удовлетворении иска отказано. Постановлением Девятого арбитражного апелляционного суда от 29.11.2019 решение суда первой инстанции оставлено без изменения. Арбитражный суд Московского округа постановлением от 19.03.2020 указанные судебные акты оставил без изменения. 2 Общество с ограниченной ответственностью «Трансойл»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ответчик осуществляет деятельность в Республике Казахстан через свой филиал и является налогоплательщиком налога на добавленную стоимость в Республике Казахстан, руководствуясь положениями статей 55, 421, 433, 785 Гражданского кодекса Российской Федерации, суды пришли к выводу о необоснованности иска. Доводы жалобы выводы судов не опровергают, не свидетельствуют о неправильном применении судами норм материального и процессуального права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