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20.06.2019, оставленным без изменения постановлением Девятого арбитражного апелляционного суда от 11.09.2019, в удовлетворении заявленных требований отказано. Постановлением Арбитражного суда Московского округа от 18.02.2020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412 , 413 , 416 , 418 Налогового кодекса Российской Федерации, суды пришли к выводу о наличии в действиях предпринимателя состава правонарушения, ответственность за которое предусмотрена частью 2 статьи 116 Налогового кодекса Российской Федерации. При этом суды признали, что осуществление вида предпринимательской деятельности, в отношении которого установлен торговый сбор, без направления уведомления в налоговый орган приравнивается к ведению деятельности организацией или индивидуальным предпринимателем без постановки на учет в налоговом органе. Доводы жалобы были предметом рассмотрения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ИФНС России №43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