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04.09.2019, оставленным без изменения постановлениями Третьего арбитражного апелляционного суда от 29.11.2019 и Арбитражного суда Восточно-Сибирского округа от 26.02.2020, в удовлетворении исковых требований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исковых требований общество ссылается на утрату алкогольной продукции, изъятой во время предварительного следствия, в результате нарушений, выразившихся в неоформлении соответствующих процессуальных документов, фиксирующих ход и результаты перемещения алкогольной продукции (протоколов выемки, сохранных расписок), а также несвоевременной передаче изъятой алкогольной продукции под ответственное хранение, лицами, осуществлявшими уголовное преследование ФИО1 по уголовному делу № 616105. Отказывая в удовлетворении искового требования, суды, оценив представленные в дело доказательства в соответствии со статьей 71 Арбитражного процессуального кодекса Российской Федерации, руководствуясь положениями статей 15 , 16 , 1069 , 1070 Гражданского кодекса Российской Федерации, статьи 25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пришли к выводу об отсутствии необходимой совокупности условий для привлечения ответчиков к гражданско- правовой ответственности в виде взыскания убытков. Судебные инстанции исходили из отсутствия причинно-следственной связи между действиями ответчиков и наступившими последствиями, факта причинения убытков, их размера. При рассмотрении спора суды установили, что протоколы изъятия алкогольной продукции были оформлены в соответствии со статьями 166, 182 и 183 Уголовно-процессуального кодекса Российской Федерации и не обжаловались, как в ходе проведения оперативно-розыскных мероприятий, так и при проведении следственных действий; акты государственных органов, указывающие на необходимость возврата спорной алкогольной продукции истцу, отсутствуют; спорная алкогольная продукция не признана легальной и подлежала уничтожению. Приведенные доводы не подтверждают существенных нарушений норм материального и процессуального права, повлиявших на исход дела, по сути, сводятся к несогласию заявителей с установленными судами фактическими обстоятельствами дела и направлены на их переоценку, что не может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"ВЕЛЕС" (подробнее) Ответчики: Министерство внутренних дел Российской Федерации (подробнее) Министерство финансов Российской Федерации (подробнее) Следственное управление следственного комитета Российской Федерации по Республике Хакасия (подробнее) Следственный комитет Российской Федерации (подробнее) УМВД России по г .Абакану (подробнее) Иные лица: Министерство внутренних дел по Республике Хакасия (подробнее) Управление Федерального казначейства по Республике Хакасия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