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об исключении из конкурсной массы денежных средств в размере 32 281 рубля на содержание себя и своего несовершеннолетнего ребёнка. Определением Арбитражного суда Пермского края от 15.10.2018, оставленным без изменения постановлениями Семнадцатого арбитражного апелляционного суда от 17.01.2019 и Арбитражного суда Уральского округа от 22.04.2019, ходатайство удовлетворено частично. В кассационной жалобе, поданной в Верховный Суд Российской Федерации, заявитель просит отменить названные судебные акты в части отказа заявителю в ежемесячной выплате из конкурсной массы денежных средств в размере прожиточного минимума, установленного постановлением правительства Пермского края от 25.07.2018 № 422-П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статьей 10 и 446 Гражданского кодекса Российской Федерации, статьей 213.25 Федерального закона от 26.10.2002 № 127-ФЗ «О несостоятельности (банкротстве), разъяснениями, приведёнными в пункте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необходимости обеспечения справедливого баланса между имущественными интересами кредиторов и должника, не принимающего мер к трудоустройству, обладающего возможностью получения дохода от использования принадлежащего ему имущества, уклоняющегося от передачи активов в конкурсную массу и не раскрывающего источники собственного финансирования, указав на использование последним механизма обеспечения со злоупотреблением правом через уменьшение конкурсной массы и ущемление прав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 "Пермская лаборатория судебной экспертизы МЮРФ" (подробнее) ООО "Глобал-Транс-Пермь" (подробнее) ООО "Интэко" (подробнее) ООО "Рубикон" (подробнее) ПАО АКБ "Абсолют Банк" (подробнее) ПАО АКБ "Урал ФД" (подробнее) Иные лица: Инспекция Федеральной налоговой службы по Ленинскому району г. Перми (подробнее) НП ПАУ ЦФО в Пермском крае (подробнее) ООО "Глобал Транс" (подробнее) ООО "ТРАНСПОРТНАЯ МИМ" (подробнее) ООО "Урал Снабжение" (подробнее) Федеральное агентство железнодорожного трнспорта (Росжелдор) (подробнее) Судьи дела: Корнелюк Е.С. (судья) (подробнее) Последние документы по делу: Определение от 15 июня 2020 г. по делу № А50-7536/2016 Определение от 15 августа 2019 г. по делу № А50-7536/2016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