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12.04.2019 иск удовлетворен. Постановлением Пятого арбитражного апелляционного суда от 03.10.2019 решение суда первой инстанции изменено, пункт 3 дополнительного соглашения к от 25.12.2018 № 1 и приложение к нему согласованы в редакции, изложенной в резолютивной части. Постановлением Арбитражного суда Дальневосточного округа от 14.02.2020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состоявшихся по делу судебных актов и доводов кассационной жалобы не установлено. Разрешая спор, суд апелляционной инстанции, с которым согласился суд округа, повторно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421 , 424 , 431 , 432 , 446 , 702 , 758 Гражданского кодекса Российской Федерации, статьями 154 , 166 , 168 , 247 , 248 , 292 Налогового кодекса Российской Федерации, исходил из того, что спорный договор является договором подряда, по которому истец будет осуществлять строительство (реконструкцию) и понесет соответствующие расходы на совершение указанных действий, поэтому в силу положений главы 25 Налогового кодекса Российской Федерации сумма оплаты 190 524 991 руб. 53 коп., которую получит истец от ответчика за выполненные работы, суммируется с остальными доходами, после чего из полученной суммы общего дохода вычитается общая сумма подлежащих учету в целях налогообложения расходов; разница между общей суммой учитываемых доходов и расходов представляет собой налогооблагаемую прибыль. Доводы заявителя были предметом рассмотрения суда округа и получили правовую оценку. Доводы кассационной жалобы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«Сахалинэнерго»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ПАО Сахалинэнерго (подробнее) Ответчики: ОАУ "СТК "Горный воздух" (подробнее) Судьи дела: Чучунова Н.С. (судья) (подробнее) Судебная практика по: Признание договора незаключенным Судебная практика по применению нормы ст. 432 ГК РФ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