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31.07.2019, оставленным без изменения постановлением Восемнадцатого арбитражного апелляционного суда от 05.11.2019, заявленное требование удовлетворено частично, решение инспекции признано недействительным в части доначисления 6 750 092 рублей 41 копейки НДС и соответствующих пеней. В удовлетворении заявления в остальной части отказано. Постановлением Арбитражного суда Уральского округа от 13.03.2020 решение суда первой инстанции и постановление суда апелляционной инстанции изменены, в удовлетворении требования общества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основанием для принятия решения в оспоренной части послужил вывод инспекции о неправомерном включении обществом в состав расходов по налогу на прибыль затрат по взаимоотношениям с обществами с ограниченной ответственностью «Сити-Транс», «МеталлИнвест» и «Центр металлоизделий», а также необоснованном применении налоговых вычетов по НДС на основании документов, выставленных от имени указанных контрагентов. Оценив представленные в материалы дела доказательства, суды первой и апелляционной инстанций установили, что представленные обществом первичные документы содержат недостоверные сведения, составлены формально и не подтверждают реального совершения хозяйственных операций спорными контрагентами, имеющими признаки номинальных организаций. При этом реальными поставщиками предусмотренного договорами товара в адрес общества являлись иные организации. Учитывая установленные обстоятельства, руководствуясь положениями статей 169 , 171 , 172 , 247 , 252 Налогового кодекса Российской Федерации, разъяснениями, изложенными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судебные инстанции пришли к выводу о направленности действий общества на получение из бюджета необоснованной налоговой выгоды путем занижения налоговой базы по налогу на прибыль и завышения налоговых вычетов по НДС. Вместе с тем, учитывая факт приобретения товара у реальных поставщиков и его использование в коммерческой деятельности общества, исходя из подлинного экономического содержания операций, суды первой и апелляционной инстанций признали решение инспекции незаконным в части начисления 6 750 092 рублей 41 копейки НДС со стоимости товара от реальных поставщиков и соответствующих пеней. Перерасчет прямых расходов по налогу на прибыль признан осуществленным инспекцией по стоимости приобретения товара у реальных поставщиков. Изменяя судебные акты, суд округа, учитывая разъяснения, изложенные в абзаце 7 пункта 8 постановления Пленума Высшего Арбитражного Суда Российской Федерации от 30.07.2013 № 57 «О некоторых вопросах, возникающих при применении арбитражными судами части первой Налогового кодекса Российской Федерации», правовую позицию Президиума Высшего Арбитражного Суда Российской Федерации, сформулированную в постановлениях от 30.01.2007 № 10963/06 и от 09.11.2010 № 6961/10, пришел к выводу о том, что примененный судами подход в отношении налоговых вычетов по НДС действующим законодательством не допускается. Суд округа отметил, что отказ налогового органа в принятии вычетов и доначисление НДС стало следствием действий самого налогоплательщика, целью которого являлось получение необоснованной налоговой выгоды путем создания формального документооборота, не отражавшего действительных взаимоотношений со спорными контрагентами. Ввиду неисполнения заявителем обязанности по подтверждению обоснованности заявленного налогового вычета по НДС инспекция вправе была не принять данный налоговый вычет, доначислив соответствующую сумму НДС к уплате в бюджет и начислив пени. Доводы общества, изложенные в кассационной жалобе, в том числе о фактической поставке всех предусмотренных договорами товаров, их оплате и использовании в хозяйственной деятельности, о неправомерном отказе в праве на вычет по товарам, использованным для изготовления сварных балок, а также о необходимости проведения судебной бухгалтерской экспертизы, не принимаются, поскольку налоговые вычеты по НДС могут применяться только в связи с несением расходов по конкретной сделке. Для принятия таких вычетов подтверждения лишь факта наличия товара недостаточно, так как в силу положений статей 169 и 171 Налогового кодекса Российской Федерации налогоплательщиком должны быть представлены надлежащим образом оформленные первичные документы по сделке с конкретным контрагентом, а также доказательства, подтверждающие реальное исполнение такой сделки. Вопреки доводу о неправомерном определении налоговых обязательств по налогу на прибыль, суды указали на проведение инспекцией перерасчета прямых расходов исходя из стоимости приобретения товара у реальных поставщиков. Приведенные в жалобе доводы являлись предметом рассмотрения судов, не опровергают их выводы, не подтверждают существенного нарушения норм материального и процессуального права, повлиявших на исход дела, и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«ЧелябМеталлКонструкция»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и.о к/у "Челябметаллконструкция" - Андреев Виталий Валерьевич (подробнее) ООО "Челябметаллконструкция" (подробнее) Ответчики: МИФНС РФ №10 по Челябинской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