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«Небоскреб БГ» (далее – общество) обратилось в Арбитражный суд города Москвы с иском о взыскании с Департамента строительства города Москвы (далее – департамент) 2 609 104 рублей 92 копеек долга по оплате выполненных работ, 555 700 рублей 09 копеек процентов за пользование чужими денежными средствами за период с 18.10.2016 по 07.05.2019. К участию в деле в качестве третьего лица, не заявляющего самостоятельные требования, привлечено государственное унитарное 2 предприятие «Управление экспериментальной застройки» (далее – предприятие). Решением Арбитражного суда города Москвы от 18.07.2019, оставленным без изменения постановлением Девятого арбитражного апелляционного суда от 21.10.2019, обществу отказано в удовлетворении заявленных требований. Арбитражный суд Московского округа постановлением от 18.02.2020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требований в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28.12.2007 между обществом (подрядчик) и предприятием (заказчик) заключен государственный контракт № 653-У/07 на выполнение подрядных работ по строительству одноквартирных трехэтажных жилых домов-коттеджей со встроенными гаражами. Соглашением от 04.06.2008 к контракту обязанность по финансированию выполненных работ возложена на Департамент градостроительной политики, развития и реконструкции города Москвы. На основании соглашения от 21.11.2011 к контракту права и обязанности по финансированию строительства объекта перешли к департаменту. Ссылаясь на то, что полная оплата выполненных работ департаментом не произведена, общество обратилось с настоящим иском. 3 Оценив представленные в материалы дела доказательства и установив, что заявленная к взысканию сумма является оплатой работ по контракту, работы по которому завершены в июле - августе 2015 года, срок окончательного расчета по контракту наступил 15.09.2015, при этом по результатам выполненных подрядных работ получены разрешения на ввод объектов в эксплуатацию от 31.07.2015, от 31.08.2015, суды пришли к выводу, что обращаясь 13.05.2019 с настоящим иском, общество пропустило срок исковой давности, поскольку о нарушении своих прав на оплату общество узнало не позднее 15.09.2015. При этом доводы общества о том, что указанные в акте о приемке выполненных работ от 15.10.2016 за отчетный период с 01.10.2016 по 15.10.2016 работы не связаны с вводом объекта в эксплуатацию, поскольку выполнялись работы по благоустройству территории, отклоняется, как не подтвержденный. Как установлено судами, спорной является сумма, представляющая собой 5% удержаний, срок выплаты которой связан с вводом объекта в эксплуатацию. Из указанного акта следует, что обществом выполнялись работы по устройству кровли, что является необходимым для ввода объекта в эксплуатацию. Составление и подписание акта о приемке выполненных работ в 2016 году при наличии выданных ранее уполномоченными органами разрешений на ввод объекта в эксплуатацию само по себе не свидетельствует о выполнении таких работ в 2016 году. Получение разрешений на ввод объекта в эксплуатацию без выполнения указанных работ было бы не возможным.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общества для рассмотрения в судебном заседании Судебной коллегии по экономическим 4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