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Забайкальского края от 26.08.2019, оставленным без изменения постановлением Четвертого арбитражного апелляционного суда от 06.11.2019, в удовлетворении иска отказано. Постановлением Арбитражного суда Восточно-Сибирского окрга от 20.02.2020 указанные судебные акты оставлены без изменения. 2 Истец просит отменить обжалуемые судебные акты, считая их принятыми с существенным нарушением норм материального права и (или) норм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статей 15, 393 Гражданского кодекса Российской Федерации, статей 143, 147, 148, 166, 171, 173 Налогового кодекса Российской Федерации, суды отказали в удовлетворении иска. При этом суды исходили из того, что по делам о возмещении убытков истец обязан доказать, что ответчик является лицом, в результате действий (бездействия) которого возник ущерб, факты нарушения обязательства или причинения вреда, чего в рассматриваемом случае сделано не было. Приведенные в жалобе доводы не свидетельствуют о существенных нарушениях норм материального права, а также требований процессуального законодательства, повлиявших на исход судебного разбирательства. Учитывая изложенное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