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30.08.2019, оставленным без изменения постановлением Седьмого арбитражного апелляционного суда от 22.11.2019, в удовлетворении требований отказано. 2 Постановлением Арбитражного суда Западно-Сибирского округа от 27.02.2019 указанные судебные акты оставлены без изменения. Общество просит обжалуемые судебные акты отменить, считая их принятыми с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решением антимонопольного органа в действиях общества выявлены нарушения пунктов 5 и 8 части 1 статьи 10 Федерального закона от 26.07.2006 № 135-ФЗ «О защите конкуренции», выразившиеся в необоснованном уклонении от заключения договоров поставки сжиженных углеводородных газов, а также в создании дискриминационных условий, которые привели к ущемлению прав хозяйствующих субъектов в сфере предпринимательской деятельности и ограничению конкуренции на соответствующем рынке. Указанные обстоятельства послужили основанием для составления протокола об административном правонарушении и вынесения антимонопольным органом оспариваемого постановления о привлечении общества к ответственности по части 2 статьи 14.31 Кодекса Российской Федерации об административных правонарушениях. 3 Частью 2 статьи 14.31 Кодекса Российской Федерации об административных правонарушениях предусмотрена ответственность за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статьей 9.21 настоящего Кодекса. Оценив представленные доказательства, руководствуясь положениями Федерального закона от 26.07.2006 № 135-ФЗ «О защите конкуренции», Федерального закона от 17.08.1995 № 147-ФЗ «О естественных монополиях», суды пришли к выводу о наличии в действиях общества состава правонарушения по части 2 статьи 14.31 Кодекса Российской Федерации об административных правонарушениях. При определении размера штрафа суды согласились с произведенным антимонопольным органом расчетом. При этом суды исходили из того, что назначенное антимонопольным органом административное наказание соответствует требованиям статей 3.1, 3.5, 14.31 Кодекса Российской Федерации об административных правонарушениях, принципам законности, справедливости, неотвратимости и целесообразности юридической ответственности. Поскольку все юридически значимые обстоятельства при рассмотрении дела об административном правонарушении, имеющие существенное значение для разрешения спора, установлены судом на основании полного и всестороннего исследования имеющихся в деле доказательств, которым дана 4 оценка, оснований для удовлетворения жалобы и отмены или изменения оспоренных судебных актов не имеется.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