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24.07.2019, оставленным без изменения постановлением Десятого арбитражного апелляционного суда от 29.11.2019, в удовлетворении требований отказано. Постановлением Арбитражного суда Московского округа от 10.03.2020 указанные судебные акты оставлены без изменения. 2 Общество просит отменить обжалуемые судебные акты,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принятия оспариваемого решения послужили выводы налогового органа о получении обществом необоснованной налоговой выгоды в связи с завышением налоговых вычетов по налогу на добавленную стоимость по взаимоотношениям с ООО «Славянский мост», «Лидерстрой», «Регионстрой», «Жилстрой», «Стройцентр», «Домстрой», «Стройдвор», «Юнистрой», «Капитель», «Компания Технопром». Признавая обоснованными выводы налогового органа, суды руководствовались положениями статей 146, 154, 169, 171, 172 Налогового кодекса Российской Федерации, а также правовой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3 При этом суды исходили из установленных обстоятельств, свидетельствующих о том, что в первичных документах содержатся недостоверные и противоречивые сведения, отсутствуют реальные хозяйственные операции, у контрагентов отсутствовала возможность для выполнения работ; нарушений существенных условий процедуры рассмотрения материалов налоговой проверки не установлено.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