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18.08.2019, оставленным без изменения постановлением Девятого арбитражного апелляционного суда от 28.10.2019, иск удовлетворен в заявленном размере. Арбитражный суд Московского округа постановлением от 17.02.2020 решение от 18.08.2019 и постановление Девятого арбитражного апелляционного суда от 28.10.2019 оставил без изменения. В кассационной жалобе банк просит о пересмотре судебных актов, ссылаясь на несоответствие требования о неустойке обстоятельствам исполнения обязательства по гарантии.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обстоятельств, влияющих на взыскание неустойки и ее размер (статья 333 Гражданского кодекса Российской Федерации) в пределах данного дела, является компетенцией судов, рассматривающих дело по правилам для суда первой инстанции, и связанные с этими обстоятельствами доводы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