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26.03.2019 исковые требования удовлетворены. Постановлением Семнадцатого арбитражного апелляционного суда от 18.06.2019 решение изменено, иск удовлетворен частично. Определением Арбитражного суда Пермского края от 22.10.2019, оставленным без изменения постановлением Семнадцатого арбитражного апелляционного суда от 25.12.2019 и постановлением Арбитражного суда Уральского округа от 16.03.2020, в удовлетворении заявления общества о взыскании судебных расходов отказано в связи с обоснованностью исковых требований. 2 В кассационной жалобе общество просит об отмене судебных актов, ссылаясь на наличие права на возмещение судебных расходов, учитывая успешность защиты своих интересов в апелляционной инстанции.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Рассматривая заявление о судебных расходах, суды руководствовались постановлением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статьями 106, 110, 112 Арбитражного процессуального кодекса Российской Федерации, обстоятельствами дела и правомерно указали, что ответчик не является выигравшей дело стороной, поскольку частичный отказ в обоснованном иске к нему связан с уменьшением размера неустойки. Обжалуемые судебные акты соответствуют действующей судебной практике применения законодательства о возмещении судебных издержек.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«Частное охранное предприятие «Лев»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