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20.06.2019, оставленным без изменения постановлением Восемнадцатого арбитражного апелляционного суда от 23.10.2019 и постановлением Арбитражного суда Уральского округа от 14.02.2020, иск удовлетворен частично. В кассационной жалобе общество «РосВтор-Сервис» просит о пересмотре судебных актов как не соответствующих доказательствам и фактическим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обстоятельства исполнения сторонами договора поставки от 01.11.2013 № 18-С, установили неисполнение в его рамках обязательств поставщиком (ответчиком) к согласованному сроку и отсутствие в связи с этим основания для удержания предварительно полученной за товар суммы, признанной подлежащей возврату по правилу статьи 1102 Гражданского кодекс Российской Федерации. Довод о неисследовании вопроса о действии договора не меняет существа судебных актов, учитывая, что на спорную сумму товар не поставлен и истец не требует его поставки, а просит о возврате денежных средств. Вопрос о прекращении обязательства отступным не обсуждался судами, поэтому не подлежит обсуждению на стадии кассационного производства.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«РосВтор-Сервис»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