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02.09.2019, оставленным без изменения постановлением Пятнадцатого арбитражного апелляционного суда от 01.11.2019, первоначальные исковые требования удовлетворены, в удовлетворении встречного иска отказано. Постановлением Арбитражного суда Северо-Кавказского округа от 05.03.2020 решение и постановление апелляционного суда отменены, дело направлено на новое рассмотрение в суд первой инстанции. В кассационной жалобе общество «Гепард» просит отменить постановление окружного суда как принятое с нарушением пределов полномочий. 2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проверке законности судебных актов окружной суд установил неисследование обстоятельств, необходимых для правильного разрешения спора, поэтому направил дело на новое рассмотрение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«Гепард»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