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24.07.2019 исковые требования удовлетворены в части взыскания 99 300 рублей страхового возмещения, 17 000 рублей расходов на услуги эксперта, 98 420 рублей неустойки за период с 18.12.2018 по 12.07.2019 и с 13.07.2019 по день фактической оплаты долга исходя из размера 1% в день, 1 310 рублей расходов на копирование, 224 рублей 20 копеек почтовых расходов и 15 000 рублей расходов на услуги представителя. Семнадцатый арбитражный апелляционный суд постановлением от 11.11.2019 отменил решение от 24.07.2019 и удовлетворил иск в части взыскания 19 188 рублей неустойки за период с 18.12.2018 по 10.01.2019, 2 1 914 рублей расходов на услуги представителя, 49 рублей 81 копейки почтовых расходов и 84 рублей 75 копеек расходов на копировальные услуги. Арбитражный суд Уральского округа постановлением от 20.02.2020 постановление Семнадцатого арбитражного апелляционного суда от 11.11.2019 оставил без изменения. В кассационной жалобе общество «Авторемонт Кар» просит об отмене судебных актов, ссылаясь на неправомерный учет износа комплектующих.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Общество «Авторемонт Кар», не согласившееся с получением страхового возмещения в денежной форме во внесудебном порядке, прибегло к денежной форме посредством предъявления данного иска, а не понуждению страховщика к организации восстановительного ремонта (пункт 52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средств»). При денежной форме осуществления страхового возмещения определение убытков производится с учетом износа комплектующих, на что правомерно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«Авторемонт Кар»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