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12.03.2015 иск удовлетворен. Определением Арбитражного суда города Москвы от 22.08.2019, оставленным без изменения постановлением Девятого арбитражного апелляционного суда от 13.12.2019, обществу отказано в замене компании в связи с непредставлением доказательств передачи обязательств в отношении взысканной суммы иному страховщику. Арбитражный суд Московского округа постановлением от 11.03.2020 определение от 22.08.2019 и постановление Девятого арбитражного апелляционного суда от 13.12.2019 оставил без изменения. В кассационной жалобе общество просит об отмене судебных актов об отказе в процессуальном правопреемстве, ссылаясь на официальный источник информации о переходе обязательств к АО «СОГАЗ».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удовлетворении заявления отказано в связи с недоказанностью. Вопросы доказывания и оценки доказательств, с пересмотром которых связаны доводы жалобы, не обсуждаются на стадии кассационного производства.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«ЛК ГАЗИНВЕСТГРУПП»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