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02.07.2019, оставленным без изменения постановлением Девятого арбитражного апелляционного суда от 16.10.2019, в удовлетворении требований отказано. Постановлением Арбитражного суда Московского округа от 18.02.2020 указанные судебные акты оставлены без изменения. 2 Общество просит отменить обжалуемые судебные акты,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принятия оспариваемого решения послужили выводы налогового органа о получении обществом необоснованной налоговой выгоды в связи с завышением налоговых вычетов по налогу на добавленную стоимость. Признавая обоснованными выводы налогового органа, суды руководствовались положениями статей 146, 154, 169, 171, 172 Налогового кодекса Российской Федерации, а также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выгоды». При этом суды исходили из установленных обстоятельств, свидетельствующих о том, что в первичных документах содержатся недостоверные и противоречивые сведения, отсутствуют реальные 3 хозяйственные операции, налоговым органом доказан факт создания формального документооборота. Приведенные в жалобе доводы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